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Общество с ограниченной ответственностью «Специализированный застройщик «ЯрославльСтройПроект»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ООО «СЗ «ЯрославльСтройПроект»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)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Юридический адрес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36017,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г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Калининград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ул Энгельса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д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59,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кв</w:t>
      </w:r>
      <w:r>
        <w:rPr>
          <w:rFonts w:ascii="Times New Roman" w:hAnsi="Times New Roman"/>
          <w:sz w:val="22"/>
          <w:szCs w:val="22"/>
          <w:rtl w:val="0"/>
          <w:lang w:val="ru-RU"/>
        </w:rPr>
        <w:t>. 1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ИНН 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3900026790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ОГРН  </w:t>
      </w:r>
      <w:r>
        <w:rPr>
          <w:rFonts w:ascii="Times New Roman" w:hAnsi="Times New Roman"/>
          <w:sz w:val="22"/>
          <w:szCs w:val="22"/>
          <w:rtl w:val="0"/>
          <w:lang w:val="ru-RU"/>
        </w:rPr>
        <w:t>1243900006910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Информируем об открытии внутреннего тендера и приема заявок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Тендер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По выбору подрядной организации на выполнение комплекса работ по монтажу внутренней системы водоснабжения и канализации жилого дома </w:t>
      </w:r>
      <w:r>
        <w:rPr>
          <w:rFonts w:ascii="Times New Roman" w:hAnsi="Times New Roman"/>
          <w:sz w:val="22"/>
          <w:szCs w:val="22"/>
          <w:rtl w:val="0"/>
          <w:lang w:val="ru-RU"/>
        </w:rPr>
        <w:t>1-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го этапа строительства </w:t>
      </w:r>
      <w:r>
        <w:rPr>
          <w:rFonts w:ascii="Times New Roman" w:hAnsi="Times New Roman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Многоквартирный жилой дом со встроенными нежилыми помещениями с инженерными коммуникациями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Строение №</w:t>
      </w:r>
      <w:r>
        <w:rPr>
          <w:rFonts w:ascii="Times New Roman" w:hAnsi="Times New Roman"/>
          <w:sz w:val="22"/>
          <w:szCs w:val="22"/>
          <w:rtl w:val="0"/>
          <w:lang w:val="ru-RU"/>
        </w:rPr>
        <w:t>1).;</w:t>
      </w: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Объект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: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"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Многоквартирный жилой дом со встроенными нежилыми помещениями с инженерными коммуникациями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1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этап строительства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Строение №</w:t>
      </w:r>
      <w:r>
        <w:rPr>
          <w:rFonts w:ascii="Times New Roman" w:hAnsi="Times New Roman"/>
          <w:sz w:val="22"/>
          <w:szCs w:val="22"/>
          <w:rtl w:val="0"/>
          <w:lang w:val="ru-RU"/>
        </w:rPr>
        <w:t>1" 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земельный участок с кадастровым номером 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76:23:010402:253,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по адресу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г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Ярославль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Дзержинский р</w:t>
      </w:r>
      <w:r>
        <w:rPr>
          <w:rFonts w:ascii="Times New Roman" w:hAnsi="Times New Roman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МКР №</w:t>
      </w:r>
      <w:r>
        <w:rPr>
          <w:rFonts w:ascii="Times New Roman" w:hAnsi="Times New Roman"/>
          <w:sz w:val="22"/>
          <w:szCs w:val="22"/>
          <w:rtl w:val="0"/>
          <w:lang w:val="ru-RU"/>
        </w:rPr>
        <w:t>15).</w:t>
      </w: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Срок представления ТКП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:   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25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 xml:space="preserve">»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августа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 2026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По умолчанию A"/>
        <w:tabs>
          <w:tab w:val="left" w:pos="381"/>
          <w:tab w:val="left" w:pos="409"/>
        </w:tabs>
        <w:spacing w:before="0" w:line="312" w:lineRule="auto"/>
        <w:rPr>
          <w:b w:val="1"/>
          <w:bCs w:val="1"/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</w:pP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ru-RU"/>
          <w14:textFill>
            <w14:solidFill>
              <w14:srgbClr w14:val="EE0000"/>
            </w14:solidFill>
          </w14:textFill>
        </w:rPr>
        <w:t xml:space="preserve">Планируемое начало работ </w:t>
      </w: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ru-RU"/>
          <w14:textFill>
            <w14:solidFill>
              <w14:srgbClr w14:val="EE0000"/>
            </w14:solidFill>
          </w14:textFill>
        </w:rPr>
        <w:t>25</w:t>
      </w: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ru-RU"/>
          <w14:textFill>
            <w14:solidFill>
              <w14:srgbClr w14:val="EE0000"/>
            </w14:solidFill>
          </w14:textFill>
        </w:rPr>
        <w:t>.</w:t>
      </w: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ru-RU"/>
          <w14:textFill>
            <w14:solidFill>
              <w14:srgbClr w14:val="EE0000"/>
            </w14:solidFill>
          </w14:textFill>
        </w:rPr>
        <w:t>10</w:t>
      </w: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ru-RU"/>
          <w14:textFill>
            <w14:solidFill>
              <w14:srgbClr w14:val="EE0000"/>
            </w14:solidFill>
          </w14:textFill>
        </w:rPr>
        <w:t>.202</w:t>
      </w: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ru-RU"/>
          <w14:textFill>
            <w14:solidFill>
              <w14:srgbClr w14:val="EE0000"/>
            </w14:solidFill>
          </w14:textFill>
        </w:rPr>
        <w:t>6</w:t>
      </w:r>
      <w:r>
        <w:rPr>
          <w:b w:val="1"/>
          <w:bCs w:val="1"/>
          <w:outline w:val="0"/>
          <w:color w:val="ee0000"/>
          <w:sz w:val="22"/>
          <w:szCs w:val="22"/>
          <w:u w:color="ee0000"/>
          <w:rtl w:val="0"/>
          <w:lang w:val="ru-RU"/>
          <w14:textFill>
            <w14:solidFill>
              <w14:srgbClr w14:val="EE0000"/>
            </w14:solidFill>
          </w14:textFill>
        </w:rPr>
        <w:t xml:space="preserve"> год</w:t>
      </w:r>
    </w:p>
    <w:p>
      <w:pPr>
        <w:pStyle w:val="По умолчанию A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Тендерную и проектную документацию вы можете скачать по указанной гиперссылке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"https://cloud.mail.ru/public/QUnf/oQa81pGBM"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__________________________________________________________________</w:t>
      </w:r>
      <w:r>
        <w:rPr/>
        <w:fldChar w:fldCharType="end" w:fldLock="0"/>
      </w:r>
    </w:p>
    <w:p>
      <w:pPr>
        <w:pStyle w:val="По умолчанию A"/>
        <w:keepNext w:val="1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Для участия в тендере Вам необходимо</w:t>
      </w:r>
      <w:r>
        <w:rPr>
          <w:rFonts w:ascii="Times New Roman" w:hAnsi="Times New Roman"/>
          <w:sz w:val="22"/>
          <w:szCs w:val="22"/>
          <w:rtl w:val="0"/>
          <w:lang w:val="ru-RU"/>
        </w:rPr>
        <w:t>:</w:t>
      </w:r>
    </w:p>
    <w:p>
      <w:pPr>
        <w:pStyle w:val="По умолчанию A"/>
        <w:keepNext w:val="1"/>
        <w:numPr>
          <w:ilvl w:val="0"/>
          <w:numId w:val="2"/>
        </w:numPr>
        <w:bidi w:val="0"/>
        <w:spacing w:before="0" w:line="276" w:lineRule="auto"/>
        <w:ind w:right="0"/>
        <w:jc w:val="both"/>
        <w:rPr>
          <w:rFonts w:ascii="Times New Roman" w:hAnsi="Times New Roman" w:hint="default"/>
          <w:sz w:val="22"/>
          <w:szCs w:val="22"/>
          <w:rtl w:val="0"/>
          <w:lang w:val="ru-RU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Ознакомиться с видом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составом и перечнем выполняемых работ</w:t>
      </w:r>
      <w:r>
        <w:rPr>
          <w:rFonts w:ascii="Times New Roman" w:hAnsi="Times New Roman"/>
          <w:sz w:val="22"/>
          <w:szCs w:val="22"/>
          <w:rtl w:val="0"/>
          <w:lang w:val="ru-RU"/>
        </w:rPr>
        <w:t>;</w:t>
      </w:r>
    </w:p>
    <w:p>
      <w:pPr>
        <w:pStyle w:val="Body Text"/>
        <w:keepNext w:val="1"/>
        <w:numPr>
          <w:ilvl w:val="0"/>
          <w:numId w:val="2"/>
        </w:numPr>
        <w:bidi w:val="0"/>
        <w:spacing w:line="276" w:lineRule="auto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Проектную документацию</w:t>
      </w:r>
      <w:r>
        <w:rPr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Body Text"/>
        <w:keepNext w:val="1"/>
        <w:numPr>
          <w:ilvl w:val="0"/>
          <w:numId w:val="2"/>
        </w:numPr>
        <w:bidi w:val="0"/>
        <w:spacing w:line="276" w:lineRule="auto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При необходимости вы можете посетить объект</w:t>
      </w:r>
      <w:r>
        <w:rPr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Body Text"/>
        <w:keepNext w:val="1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  <w14:textOutline w14:w="12700" w14:cap="flat">
            <w14:noFill/>
            <w14:miter w14:lim="400000"/>
          </w14:textOutline>
        </w:rPr>
      </w:pPr>
    </w:p>
    <w:p>
      <w:pPr>
        <w:pStyle w:val="По умолчанию A"/>
        <w:keepNext w:val="1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В случае заинтересованности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направить ТЕХНИКО</w:t>
      </w:r>
      <w:r>
        <w:rPr>
          <w:rFonts w:ascii="Times New Roman" w:hAnsi="Times New Roman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КОММЕРЧЕСКОЕ ПРЕДЛОЖЕНИЕ </w:t>
      </w:r>
      <w:r>
        <w:rPr>
          <w:rFonts w:ascii="Times New Roman" w:hAnsi="Times New Roman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ТКП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в составе</w:t>
      </w:r>
      <w:r>
        <w:rPr>
          <w:rFonts w:ascii="Times New Roman" w:hAnsi="Times New Roman"/>
          <w:sz w:val="22"/>
          <w:szCs w:val="22"/>
          <w:rtl w:val="0"/>
          <w:lang w:val="ru-RU"/>
        </w:rPr>
        <w:t>:</w:t>
      </w:r>
    </w:p>
    <w:p>
      <w:pPr>
        <w:pStyle w:val="По умолчанию A"/>
        <w:keepNext w:val="1"/>
        <w:numPr>
          <w:ilvl w:val="0"/>
          <w:numId w:val="4"/>
        </w:numPr>
        <w:bidi w:val="0"/>
        <w:spacing w:before="0" w:line="276" w:lineRule="auto"/>
        <w:ind w:right="0"/>
        <w:jc w:val="both"/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 xml:space="preserve">Конкурсное предложение 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ru-RU"/>
        </w:rPr>
        <w:t>(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en-US"/>
        </w:rPr>
        <w:t>pdf, excel)</w:t>
      </w:r>
      <w:r>
        <w:rPr>
          <w:rFonts w:ascii="Times New Roman" w:hAnsi="Times New Roman"/>
          <w:b w:val="0"/>
          <w:bCs w:val="0"/>
          <w:sz w:val="22"/>
          <w:szCs w:val="22"/>
          <w:rtl w:val="0"/>
          <w:lang w:val="ru-RU"/>
        </w:rPr>
        <w:t>;</w:t>
      </w:r>
    </w:p>
    <w:p>
      <w:pPr>
        <w:pStyle w:val="По умолчанию A"/>
        <w:keepNext w:val="1"/>
        <w:numPr>
          <w:ilvl w:val="0"/>
          <w:numId w:val="5"/>
        </w:numPr>
        <w:bidi w:val="0"/>
        <w:spacing w:before="0" w:line="276" w:lineRule="auto"/>
        <w:ind w:right="0"/>
        <w:jc w:val="both"/>
        <w:rPr>
          <w:rFonts w:ascii="Times New Roman" w:hAnsi="Times New Roman" w:hint="default"/>
          <w:sz w:val="22"/>
          <w:szCs w:val="22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заполненное «Приложение </w:t>
      </w:r>
      <w:r>
        <w:rPr>
          <w:rFonts w:ascii="Times New Roman" w:hAnsi="Times New Roman"/>
          <w:sz w:val="22"/>
          <w:szCs w:val="22"/>
          <w:rtl w:val="0"/>
          <w:lang w:val="ru-RU"/>
        </w:rPr>
        <w:t>1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»</w:t>
      </w:r>
      <w:r>
        <w:rPr>
          <w:rFonts w:ascii="Times New Roman" w:hAnsi="Times New Roman"/>
          <w:sz w:val="22"/>
          <w:szCs w:val="22"/>
          <w:rtl w:val="0"/>
          <w:lang w:val="ru-RU"/>
        </w:rPr>
        <w:t>) (</w:t>
      </w:r>
      <w:r>
        <w:rPr>
          <w:rFonts w:ascii="Times New Roman" w:hAnsi="Times New Roman"/>
          <w:sz w:val="22"/>
          <w:szCs w:val="22"/>
          <w:rtl w:val="0"/>
          <w:lang w:val="en-US"/>
        </w:rPr>
        <w:t>pdf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rtl w:val="0"/>
          <w:lang w:val="en-US"/>
        </w:rPr>
        <w:t>excel</w:t>
      </w:r>
      <w:r>
        <w:rPr>
          <w:rFonts w:ascii="Times New Roman" w:hAnsi="Times New Roman"/>
          <w:sz w:val="22"/>
          <w:szCs w:val="22"/>
          <w:rtl w:val="0"/>
          <w:lang w:val="ru-RU"/>
        </w:rPr>
        <w:t>);</w:t>
      </w:r>
    </w:p>
    <w:p>
      <w:pPr>
        <w:pStyle w:val="По умолчанию A"/>
        <w:keepNext w:val="1"/>
        <w:numPr>
          <w:ilvl w:val="0"/>
          <w:numId w:val="5"/>
        </w:numPr>
        <w:bidi w:val="0"/>
        <w:spacing w:before="0" w:line="276" w:lineRule="auto"/>
        <w:ind w:right="0"/>
        <w:jc w:val="both"/>
        <w:rPr>
          <w:rFonts w:ascii="Times New Roman" w:hAnsi="Times New Roman" w:hint="default"/>
          <w:sz w:val="22"/>
          <w:szCs w:val="22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заполненное «Приложение </w:t>
      </w:r>
      <w:r>
        <w:rPr>
          <w:rFonts w:ascii="Times New Roman" w:hAnsi="Times New Roman"/>
          <w:sz w:val="22"/>
          <w:szCs w:val="22"/>
          <w:rtl w:val="0"/>
          <w:lang w:val="ru-RU"/>
        </w:rPr>
        <w:t>2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»</w:t>
      </w:r>
      <w:r>
        <w:rPr>
          <w:rFonts w:ascii="Times New Roman" w:hAnsi="Times New Roman"/>
          <w:sz w:val="22"/>
          <w:szCs w:val="22"/>
          <w:rtl w:val="0"/>
          <w:lang w:val="ru-RU"/>
        </w:rPr>
        <w:t>) (</w:t>
      </w:r>
      <w:r>
        <w:rPr>
          <w:rFonts w:ascii="Times New Roman" w:hAnsi="Times New Roman"/>
          <w:sz w:val="22"/>
          <w:szCs w:val="22"/>
          <w:rtl w:val="0"/>
          <w:lang w:val="en-US"/>
        </w:rPr>
        <w:t>pdf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rtl w:val="0"/>
          <w:lang w:val="en-US"/>
        </w:rPr>
        <w:t>excel</w:t>
      </w:r>
      <w:r>
        <w:rPr>
          <w:rFonts w:ascii="Times New Roman" w:hAnsi="Times New Roman"/>
          <w:sz w:val="22"/>
          <w:szCs w:val="22"/>
          <w:rtl w:val="0"/>
          <w:lang w:val="ru-RU"/>
        </w:rPr>
        <w:t>);</w:t>
      </w:r>
    </w:p>
    <w:p>
      <w:pPr>
        <w:pStyle w:val="Body Text"/>
        <w:numPr>
          <w:ilvl w:val="0"/>
          <w:numId w:val="6"/>
        </w:numPr>
        <w:bidi w:val="0"/>
        <w:spacing w:line="276" w:lineRule="auto"/>
        <w:ind w:right="0"/>
        <w:jc w:val="left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 xml:space="preserve">Анкета участника </w:t>
      </w:r>
      <w:r>
        <w:rPr>
          <w:b w:val="0"/>
          <w:bCs w:val="0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b w:val="0"/>
          <w:bCs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pdf</w:t>
      </w:r>
      <w:r>
        <w:rPr>
          <w:b w:val="0"/>
          <w:bCs w:val="0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b w:val="0"/>
          <w:bCs w:val="0"/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excel</w:t>
      </w:r>
      <w:r>
        <w:rPr>
          <w:b w:val="0"/>
          <w:bCs w:val="0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);</w:t>
      </w:r>
    </w:p>
    <w:p>
      <w:pPr>
        <w:pStyle w:val="Body Text"/>
        <w:numPr>
          <w:ilvl w:val="0"/>
          <w:numId w:val="6"/>
        </w:numPr>
        <w:bidi w:val="0"/>
        <w:spacing w:line="276" w:lineRule="auto"/>
        <w:ind w:right="0"/>
        <w:jc w:val="left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Портфолио</w:t>
      </w:r>
      <w:r>
        <w:rPr>
          <w:b w:val="1"/>
          <w:bCs w:val="1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b w:val="1"/>
          <w:bCs w:val="1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презентация организации</w:t>
      </w:r>
      <w:r>
        <w:rPr>
          <w:b w:val="1"/>
          <w:bCs w:val="1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 A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cs="Times New Roman" w:hAnsi="Times New Roman" w:eastAsia="Times New Roman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Все указанные документы должны быть оформлены в виде скана оригиналов документов с визами и печатями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а для документов п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.1, 2, 3, 4 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также в редактируемом формате </w:t>
      </w:r>
      <w:r>
        <w:rPr>
          <w:rFonts w:ascii="Times New Roman" w:hAnsi="Times New Roman"/>
          <w:outline w:val="0"/>
          <w:color w:val="ff0000"/>
          <w:sz w:val="22"/>
          <w:szCs w:val="22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(*.doc, *.xls).</w:t>
      </w:r>
    </w:p>
    <w:p>
      <w:pPr>
        <w:pStyle w:val="По умолчанию A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Для оперативного взаимодействия по вопросам Тендера необходимо обращаться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По умолчанию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Normal.0"/>
        <w:shd w:val="clear" w:color="auto" w:fill="ffffff"/>
        <w:rPr>
          <w:outline w:val="0"/>
          <w:color w:val="2c2d2e"/>
          <w:u w:color="2c2d2e"/>
          <w:lang w:val="ru-RU"/>
          <w14:textFill>
            <w14:solidFill>
              <w14:srgbClr w14:val="2C2D2E"/>
            </w14:solidFill>
          </w14:textFill>
        </w:rPr>
      </w:pP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Анашина Вера Александровна</w:t>
      </w:r>
    </w:p>
    <w:p>
      <w:pPr>
        <w:pStyle w:val="Normal.0"/>
        <w:shd w:val="clear" w:color="auto" w:fill="ffffff"/>
        <w:rPr>
          <w:outline w:val="0"/>
          <w:color w:val="2c2d2e"/>
          <w:u w:color="2c2d2e"/>
          <w:lang w:val="ru-RU"/>
          <w14:textFill>
            <w14:solidFill>
              <w14:srgbClr w14:val="2C2D2E"/>
            </w14:solidFill>
          </w14:textFill>
        </w:rPr>
      </w:pP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Тел</w:t>
      </w: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.:</w:t>
      </w: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 </w:t>
      </w: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+7 (961) 160-24-94</w:t>
      </w:r>
      <w:r>
        <w:rPr>
          <w:rtl w:val="0"/>
          <w:lang w:val="ru-RU"/>
        </w:rPr>
        <w:t>,</w:t>
      </w:r>
    </w:p>
    <w:p>
      <w:pPr>
        <w:pStyle w:val="Body Text"/>
        <w:tabs>
          <w:tab w:val="center" w:pos="4677"/>
          <w:tab w:val="right" w:pos="9329"/>
        </w:tabs>
        <w:jc w:val="both"/>
        <w:rPr>
          <w:outline w:val="0"/>
          <w:color w:val="004d80"/>
          <w:u w:color="004d80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  <w:r>
        <w:rPr>
          <w:rStyle w:val="Hyperlink.1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1"/>
          <w:lang w:val="en-US"/>
          <w14:textOutline w14:w="12700" w14:cap="flat">
            <w14:noFill/>
            <w14:miter w14:lim="400000"/>
          </w14:textOutline>
        </w:rPr>
        <w:instrText xml:space="preserve"> HYPERLINK "mailto:tender@novoe-bragino.ru"</w:instrText>
      </w:r>
      <w:r>
        <w:rPr>
          <w:rStyle w:val="Hyperlink.1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1"/>
          <w:rtl w:val="0"/>
          <w:lang w:val="en-US"/>
          <w14:textOutline w14:w="12700" w14:cap="flat">
            <w14:noFill/>
            <w14:miter w14:lim="400000"/>
          </w14:textOutline>
        </w:rPr>
        <w:t>tender</w:t>
      </w:r>
      <w:r>
        <w:rPr>
          <w:rStyle w:val="Ссылка"/>
          <w:rtl w:val="0"/>
          <w:lang w:val="ru-RU"/>
          <w14:textOutline w14:w="12700" w14:cap="flat">
            <w14:noFill/>
            <w14:miter w14:lim="400000"/>
          </w14:textOutline>
        </w:rPr>
        <w:t>@</w:t>
      </w:r>
      <w:r>
        <w:rPr>
          <w:rStyle w:val="Hyperlink.1"/>
          <w:rtl w:val="0"/>
          <w:lang w:val="en-US"/>
          <w14:textOutline w14:w="12700" w14:cap="flat">
            <w14:noFill/>
            <w14:miter w14:lim="400000"/>
          </w14:textOutline>
        </w:rPr>
        <w:t>novoe</w:t>
      </w:r>
      <w:r>
        <w:rPr>
          <w:rStyle w:val="Ссылка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Hyperlink.1"/>
          <w:rtl w:val="0"/>
          <w:lang w:val="en-US"/>
          <w14:textOutline w14:w="12700" w14:cap="flat">
            <w14:noFill/>
            <w14:miter w14:lim="400000"/>
          </w14:textOutline>
        </w:rPr>
        <w:t>bragino</w:t>
      </w:r>
      <w:r>
        <w:rPr>
          <w:rStyle w:val="Ссылка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Hyperlink.1"/>
          <w:rtl w:val="0"/>
          <w:lang w:val="en-US"/>
          <w14:textOutline w14:w="12700" w14:cap="flat">
            <w14:noFill/>
            <w14:miter w14:lim="400000"/>
          </w14:textOutline>
        </w:rPr>
        <w:t>ru</w:t>
      </w:r>
      <w:r>
        <w:rPr/>
        <w:fldChar w:fldCharType="end" w:fldLock="0"/>
      </w:r>
    </w:p>
    <w:p>
      <w:pPr>
        <w:pStyle w:val="Body Text"/>
        <w:tabs>
          <w:tab w:val="center" w:pos="4677"/>
          <w:tab w:val="right" w:pos="9329"/>
        </w:tabs>
        <w:jc w:val="both"/>
        <w:rPr>
          <w:outline w:val="0"/>
          <w:color w:val="004d80"/>
          <w:sz w:val="22"/>
          <w:szCs w:val="22"/>
          <w:u w:color="004d80"/>
          <w14:textOutline w14:w="12700" w14:cap="flat">
            <w14:noFill/>
            <w14:miter w14:lim="400000"/>
          </w14:textOutline>
          <w14:textFill>
            <w14:solidFill>
              <w14:srgbClr w14:val="004D80"/>
            </w14:solidFill>
          </w14:textFill>
        </w:rPr>
      </w:pPr>
    </w:p>
    <w:p>
      <w:pPr>
        <w:pStyle w:val="Body Text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По умолчанию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Для посещения строительной площадки необходимо обращаться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По умолчанию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Normal.0"/>
        <w:shd w:val="clear" w:color="auto" w:fill="ffffff"/>
        <w:rPr>
          <w:outline w:val="0"/>
          <w:color w:val="2c2d2e"/>
          <w:u w:color="2c2d2e"/>
          <w:lang w:val="ru-RU"/>
          <w14:textFill>
            <w14:solidFill>
              <w14:srgbClr w14:val="2C2D2E"/>
            </w14:solidFill>
          </w14:textFill>
        </w:rPr>
      </w:pP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Гоннов Евгений Викторович</w:t>
      </w:r>
    </w:p>
    <w:p>
      <w:pPr>
        <w:pStyle w:val="Normal.0"/>
        <w:shd w:val="clear" w:color="auto" w:fill="ffffff"/>
        <w:rPr>
          <w:outline w:val="0"/>
          <w:color w:val="2c2d2e"/>
          <w:u w:color="2c2d2e"/>
          <w:lang w:val="ru-RU"/>
          <w14:textFill>
            <w14:solidFill>
              <w14:srgbClr w14:val="2C2D2E"/>
            </w14:solidFill>
          </w14:textFill>
        </w:rPr>
      </w:pP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Тел</w:t>
      </w: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.:</w:t>
      </w: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 </w:t>
      </w:r>
      <w:r>
        <w:rPr>
          <w:outline w:val="0"/>
          <w:color w:val="2c2d2e"/>
          <w:u w:color="2c2d2e"/>
          <w:rtl w:val="0"/>
          <w:lang w:val="ru-RU"/>
          <w14:textFill>
            <w14:solidFill>
              <w14:srgbClr w14:val="2C2D2E"/>
            </w14:solidFill>
          </w14:textFill>
        </w:rPr>
        <w:t>+7 (920) 100-60-44</w:t>
      </w:r>
      <w:r>
        <w:rPr>
          <w:rtl w:val="0"/>
          <w:lang w:val="ru-RU"/>
        </w:rPr>
        <w:t>,</w:t>
      </w:r>
    </w:p>
    <w:p>
      <w:pPr>
        <w:pStyle w:val="По умолчанию 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Body Text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/>
        <w:rPr>
          <w:rFonts w:ascii="Arial Unicode MS" w:cs="Arial Unicode MS" w:hAnsi="Arial Unicode MS" w:eastAsia="Arial Unicode MS"/>
          <w:outline w:val="0"/>
          <w:color w:val="004d80"/>
          <w:u w:color="004d80"/>
          <w14:textFill>
            <w14:solidFill>
              <w14:srgbClr w14:val="004D80"/>
            </w14:solidFill>
          </w14:textFill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ВАШИ КОММЕРЧЕСКИЕ ПРЕДЛОЖЕНИЯ НАПРАВЛЯТЬ ТОЛЬКО НА УКАЗАННЫЙ В НАСТОЯЩЕМ ПРИГЛАШЕНИИ АДРЕС </w:t>
      </w:r>
      <w:r>
        <w:rPr>
          <w:rStyle w:val="Hyperlink.2"/>
          <w:b w:val="1"/>
          <w:bCs w:val="1"/>
          <w:lang w:val="en-US"/>
        </w:rPr>
        <w:fldChar w:fldCharType="begin" w:fldLock="0"/>
      </w:r>
      <w:r>
        <w:rPr>
          <w:rStyle w:val="Hyperlink.2"/>
          <w:b w:val="1"/>
          <w:bCs w:val="1"/>
          <w:lang w:val="en-US"/>
        </w:rPr>
        <w:instrText xml:space="preserve"> HYPERLINK "mailto:tender@novoe-bragino.ru"</w:instrText>
      </w:r>
      <w:r>
        <w:rPr>
          <w:rStyle w:val="Hyperlink.2"/>
          <w:b w:val="1"/>
          <w:bCs w:val="1"/>
          <w:lang w:val="en-US"/>
        </w:rPr>
        <w:fldChar w:fldCharType="separate" w:fldLock="0"/>
      </w:r>
      <w:r>
        <w:rPr>
          <w:rStyle w:val="Hyperlink.2"/>
          <w:b w:val="1"/>
          <w:bCs w:val="1"/>
          <w:rtl w:val="0"/>
          <w:lang w:val="en-US"/>
        </w:rPr>
        <w:t>tender</w:t>
      </w:r>
      <w:r>
        <w:rPr>
          <w:rStyle w:val="Ссылка"/>
          <w:b w:val="1"/>
          <w:bCs w:val="1"/>
          <w:rtl w:val="0"/>
          <w:lang w:val="ru-RU"/>
        </w:rPr>
        <w:t>@</w:t>
      </w:r>
      <w:r>
        <w:rPr>
          <w:rStyle w:val="Hyperlink.2"/>
          <w:b w:val="1"/>
          <w:bCs w:val="1"/>
          <w:rtl w:val="0"/>
          <w:lang w:val="en-US"/>
        </w:rPr>
        <w:t>novoe</w:t>
      </w:r>
      <w:r>
        <w:rPr>
          <w:rStyle w:val="Ссылка"/>
          <w:b w:val="1"/>
          <w:bCs w:val="1"/>
          <w:rtl w:val="0"/>
          <w:lang w:val="ru-RU"/>
        </w:rPr>
        <w:t>-</w:t>
      </w:r>
      <w:r>
        <w:rPr>
          <w:rStyle w:val="Hyperlink.2"/>
          <w:b w:val="1"/>
          <w:bCs w:val="1"/>
          <w:rtl w:val="0"/>
          <w:lang w:val="en-US"/>
        </w:rPr>
        <w:t>bragino</w:t>
      </w:r>
      <w:r>
        <w:rPr>
          <w:rStyle w:val="Ссылка"/>
          <w:b w:val="1"/>
          <w:bCs w:val="1"/>
          <w:rtl w:val="0"/>
          <w:lang w:val="ru-RU"/>
        </w:rPr>
        <w:t>.</w:t>
      </w:r>
      <w:r>
        <w:rPr>
          <w:rStyle w:val="Hyperlink.2"/>
          <w:b w:val="1"/>
          <w:bCs w:val="1"/>
          <w:rtl w:val="0"/>
          <w:lang w:val="en-US"/>
        </w:rPr>
        <w:t>ru</w:t>
      </w:r>
      <w:r>
        <w:rPr/>
        <w:fldChar w:fldCharType="end" w:fldLock="0"/>
      </w:r>
      <w:r>
        <w:rPr>
          <w:b w:val="1"/>
          <w:bCs w:val="1"/>
          <w:outline w:val="0"/>
          <w:color w:val="004d80"/>
          <w:u w:color="004d80"/>
          <w:rtl w:val="0"/>
          <w:lang w:val="ru-RU"/>
          <w14:textFill>
            <w14:solidFill>
              <w14:srgbClr w14:val="004D80"/>
            </w14:solidFill>
          </w14:textFill>
        </w:rPr>
        <w:t>.</w:t>
      </w:r>
    </w:p>
    <w:p>
      <w:pPr>
        <w:pStyle w:val="Body Tex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После отправки документов необходимо сообщить об отправке документов и убедиться</w:t>
      </w:r>
      <w:r>
        <w:rPr>
          <w:i w:val="1"/>
          <w:iCs w:val="1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i w:val="1"/>
          <w:iCs w:val="1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</w:rPr>
        <w:t>что отправленные документы дошли до адресата</w:t>
      </w:r>
      <w:r>
        <w:rPr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В ТЕМЕ СООБЩЕНИЯ ОБЯЗАТЕЛЬНО УКАЗАТЬ АДРЕС ОБЪЕКТА И ПРЕДМЕТ ТЕНДЕРА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А ИМЕННО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: </w:t>
      </w:r>
    </w:p>
    <w:p>
      <w:pPr>
        <w:pStyle w:val="По умолчанию A"/>
        <w:keepNext w:val="1"/>
        <w:keepLines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ЗАЯВКА ОТ </w:t>
      </w:r>
      <w:r>
        <w:rPr>
          <w:rFonts w:ascii="Times New Roman" w:hAnsi="Times New Roman"/>
          <w:sz w:val="22"/>
          <w:szCs w:val="22"/>
          <w:rtl w:val="0"/>
          <w:lang w:val="ru-RU"/>
        </w:rPr>
        <w:t>__________ (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НАИМЕНОВАНИЕ ЮЛ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ТЕНДЕР</w:t>
      </w:r>
      <w:r>
        <w:rPr>
          <w:rFonts w:ascii="Times New Roman" w:hAnsi="Times New Roman"/>
          <w:sz w:val="22"/>
          <w:szCs w:val="22"/>
          <w:rtl w:val="0"/>
          <w:lang w:val="ru-RU"/>
        </w:rPr>
        <w:t>/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ПРОЕКТ </w:t>
      </w: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 xml:space="preserve">В случае нахождения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ошибок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в документации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rtl w:val="0"/>
          <w:lang w:val="ru-RU"/>
        </w:rPr>
        <w:t>влияющих на сроки выполнения работ и на стоимость выполнения работ</w:t>
      </w:r>
      <w:r>
        <w:rPr>
          <w:rFonts w:ascii="Times New Roman" w:hAnsi="Times New Roman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Претендент должен проинформировать об этом Заказчика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.</w:t>
      </w: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По умолчанию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Будем рады видеть вашу организацию в качестве участника</w:t>
      </w:r>
      <w:r>
        <w:rPr>
          <w:rFonts w:ascii="Times New Roman" w:hAnsi="Times New Roman"/>
          <w:sz w:val="22"/>
          <w:szCs w:val="22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val="single"/>
        </w:rPr>
      </w:pPr>
    </w:p>
    <w:p>
      <w:pPr>
        <w:pStyle w:val="По умолчанию A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Calibri" w:hAnsi="Calibri" w:hint="default"/>
          <w:sz w:val="12"/>
          <w:szCs w:val="12"/>
          <w:rtl w:val="0"/>
          <w:lang w:val="ru-RU"/>
        </w:rPr>
      </w:pPr>
      <w:r>
        <w:rPr>
          <w:rFonts w:ascii="Times New Roman" w:hAnsi="Times New Roman" w:hint="default"/>
          <w:sz w:val="12"/>
          <w:szCs w:val="12"/>
          <w:rtl w:val="0"/>
          <w:lang w:val="ru-RU"/>
        </w:rPr>
        <w:t>Проведение данного тендера не должно расцениваться в качестве объявления о проведении торгов или приглашения принять участие в торгах</w:t>
      </w:r>
      <w:r>
        <w:rPr>
          <w:rFonts w:ascii="Times New Roman" w:hAnsi="Times New Roman"/>
          <w:sz w:val="12"/>
          <w:szCs w:val="1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2"/>
          <w:szCs w:val="12"/>
          <w:rtl w:val="0"/>
          <w:lang w:val="ru-RU"/>
        </w:rPr>
        <w:t>а также не должно рассматриваться как оферта или приглашение делать оферты</w:t>
      </w:r>
      <w:r>
        <w:rPr>
          <w:rFonts w:ascii="Times New Roman" w:hAnsi="Times New Roman"/>
          <w:sz w:val="12"/>
          <w:szCs w:val="1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12"/>
          <w:szCs w:val="12"/>
          <w:rtl w:val="0"/>
          <w:lang w:val="ru-RU"/>
        </w:rPr>
        <w:t>Соответственно</w:t>
      </w:r>
      <w:r>
        <w:rPr>
          <w:rFonts w:ascii="Times New Roman" w:hAnsi="Times New Roman"/>
          <w:sz w:val="12"/>
          <w:szCs w:val="12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12"/>
          <w:szCs w:val="12"/>
          <w:rtl w:val="0"/>
          <w:lang w:val="ru-RU"/>
        </w:rPr>
        <w:t xml:space="preserve">статьи </w:t>
      </w:r>
      <w:r>
        <w:rPr>
          <w:rFonts w:ascii="Times New Roman" w:hAnsi="Times New Roman"/>
          <w:sz w:val="12"/>
          <w:szCs w:val="12"/>
          <w:rtl w:val="0"/>
          <w:lang w:val="ru-RU"/>
        </w:rPr>
        <w:t>437, 447-449</w:t>
      </w:r>
      <w:r>
        <w:rPr>
          <w:rFonts w:ascii="Times New Roman" w:hAnsi="Times New Roman" w:hint="default"/>
          <w:sz w:val="12"/>
          <w:szCs w:val="12"/>
          <w:rtl w:val="0"/>
          <w:lang w:val="ru-RU"/>
        </w:rPr>
        <w:t> Гражданского кодекса Российской федерации к проводимому тендеру не применяются</w:t>
      </w:r>
      <w:r>
        <w:rPr>
          <w:rFonts w:ascii="Times New Roman" w:hAnsi="Times New Roman"/>
          <w:sz w:val="12"/>
          <w:szCs w:val="12"/>
          <w:rtl w:val="0"/>
          <w:lang w:val="ru-RU"/>
        </w:rPr>
        <w:t>.</w:t>
      </w:r>
    </w:p>
    <w:p>
      <w:pPr>
        <w:pStyle w:val="По умолчанию A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Calibri" w:hAnsi="Calibri" w:hint="default"/>
          <w:sz w:val="12"/>
          <w:szCs w:val="12"/>
          <w:rtl w:val="0"/>
          <w:lang w:val="ru-RU"/>
        </w:rPr>
      </w:pPr>
      <w:r>
        <w:rPr>
          <w:rFonts w:ascii="Times New Roman" w:hAnsi="Times New Roman" w:hint="default"/>
          <w:sz w:val="12"/>
          <w:szCs w:val="12"/>
          <w:rtl w:val="0"/>
          <w:lang w:val="ru-RU"/>
        </w:rPr>
        <w:t>Организатор оставляет за собой право по собственному усмотрению отклонить любое или все представленные предложения</w:t>
      </w:r>
      <w:r>
        <w:rPr>
          <w:rFonts w:ascii="Times New Roman" w:hAnsi="Times New Roman"/>
          <w:sz w:val="12"/>
          <w:szCs w:val="12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12"/>
          <w:szCs w:val="12"/>
          <w:rtl w:val="0"/>
          <w:lang w:val="ru-RU"/>
        </w:rPr>
        <w:t>При этом Организатор оставляет за собой право не объяснять Участникам тендера причины отклонения их предложений</w:t>
      </w:r>
      <w:r>
        <w:rPr>
          <w:rFonts w:ascii="Times New Roman" w:hAnsi="Times New Roman"/>
          <w:sz w:val="12"/>
          <w:szCs w:val="12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2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487" w:hanging="948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b w:val="1"/>
      <w:bCs w:val="1"/>
      <w:sz w:val="22"/>
      <w:szCs w:val="22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Ссылка"/>
    <w:next w:val="Hyperlink.1"/>
    <w:rPr>
      <w:lang w:val="en-US"/>
      <w14:textOutline w14:w="12700" w14:cap="flat">
        <w14:noFill/>
        <w14:miter w14:lim="400000"/>
      </w14:textOutline>
    </w:rPr>
  </w:style>
  <w:style w:type="character" w:styleId="Hyperlink.2">
    <w:name w:val="Hyperlink.2"/>
    <w:basedOn w:val="Ссылка"/>
    <w:next w:val="Hyperlink.2"/>
    <w:rPr>
      <w:rFonts w:ascii="Helvetica Neue" w:cs="Helvetica Neue" w:hAnsi="Helvetica Neue" w:eastAsia="Helvetica Neue"/>
      <w:b w:val="1"/>
      <w:bCs w:val="1"/>
      <w:lang w:val="en-US"/>
    </w:rPr>
  </w:style>
  <w:style w:type="numbering" w:styleId="Импортированный стиль 3">
    <w:name w:val="Импортированный стиль 3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